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Y="2488"/>
        <w:tblW w:w="9714" w:type="dxa"/>
        <w:tblLayout w:type="fixed"/>
        <w:tblLook w:val="04A0"/>
      </w:tblPr>
      <w:tblGrid>
        <w:gridCol w:w="1178"/>
        <w:gridCol w:w="1718"/>
        <w:gridCol w:w="1323"/>
        <w:gridCol w:w="94"/>
        <w:gridCol w:w="1276"/>
        <w:gridCol w:w="1565"/>
        <w:gridCol w:w="1412"/>
        <w:gridCol w:w="1148"/>
      </w:tblGrid>
      <w:tr w:rsidR="00587253" w:rsidTr="00C83178">
        <w:tc>
          <w:tcPr>
            <w:tcW w:w="1178" w:type="dxa"/>
            <w:shd w:val="clear" w:color="auto" w:fill="92D050"/>
          </w:tcPr>
          <w:p w:rsidR="008D54DE" w:rsidRDefault="00A26F6D" w:rsidP="00B46E04">
            <w:r>
              <w:t>Topic</w:t>
            </w:r>
          </w:p>
        </w:tc>
        <w:tc>
          <w:tcPr>
            <w:tcW w:w="1718" w:type="dxa"/>
            <w:shd w:val="clear" w:color="auto" w:fill="92D050"/>
          </w:tcPr>
          <w:p w:rsidR="008D54DE" w:rsidRDefault="00A26F6D" w:rsidP="00B46E04">
            <w:r>
              <w:t>EU level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8D54DE" w:rsidRDefault="00A26F6D" w:rsidP="00B46E04">
            <w:r>
              <w:t>MS level</w:t>
            </w:r>
          </w:p>
        </w:tc>
        <w:tc>
          <w:tcPr>
            <w:tcW w:w="1276" w:type="dxa"/>
            <w:shd w:val="clear" w:color="auto" w:fill="92D050"/>
          </w:tcPr>
          <w:p w:rsidR="008D54DE" w:rsidRDefault="00A26F6D" w:rsidP="00B46E04">
            <w:r>
              <w:t>deadlines</w:t>
            </w:r>
          </w:p>
        </w:tc>
        <w:tc>
          <w:tcPr>
            <w:tcW w:w="1565" w:type="dxa"/>
            <w:shd w:val="clear" w:color="auto" w:fill="92D050"/>
          </w:tcPr>
          <w:p w:rsidR="008D54DE" w:rsidRDefault="00A26F6D" w:rsidP="00B46E04">
            <w:r>
              <w:t>objective</w:t>
            </w:r>
          </w:p>
        </w:tc>
        <w:tc>
          <w:tcPr>
            <w:tcW w:w="1412" w:type="dxa"/>
            <w:shd w:val="clear" w:color="auto" w:fill="92D050"/>
          </w:tcPr>
          <w:p w:rsidR="008D54DE" w:rsidRDefault="00A26F6D" w:rsidP="00B46E04">
            <w:r>
              <w:t>What is at stake for EFIEES</w:t>
            </w:r>
          </w:p>
        </w:tc>
        <w:tc>
          <w:tcPr>
            <w:tcW w:w="1148" w:type="dxa"/>
            <w:shd w:val="clear" w:color="auto" w:fill="92D050"/>
          </w:tcPr>
          <w:p w:rsidR="008D54DE" w:rsidRDefault="00A26F6D" w:rsidP="00B46E04">
            <w:r>
              <w:t xml:space="preserve">Remarks </w:t>
            </w:r>
          </w:p>
        </w:tc>
      </w:tr>
      <w:tr w:rsidR="00AD32E1" w:rsidTr="00C83178">
        <w:tc>
          <w:tcPr>
            <w:tcW w:w="9714" w:type="dxa"/>
            <w:gridSpan w:val="8"/>
            <w:shd w:val="clear" w:color="auto" w:fill="FDE9D9" w:themeFill="accent6" w:themeFillTint="33"/>
          </w:tcPr>
          <w:p w:rsidR="00AD32E1" w:rsidRDefault="00AD32E1" w:rsidP="00B46E04">
            <w:pPr>
              <w:jc w:val="center"/>
            </w:pPr>
            <w:r>
              <w:t>Energy Union - planning and reporting obligations</w:t>
            </w:r>
          </w:p>
        </w:tc>
      </w:tr>
      <w:tr w:rsidR="001873AD" w:rsidTr="00C83178">
        <w:tc>
          <w:tcPr>
            <w:tcW w:w="1178" w:type="dxa"/>
          </w:tcPr>
          <w:p w:rsidR="008D54DE" w:rsidRDefault="001A723F" w:rsidP="00B46E04">
            <w:r>
              <w:t xml:space="preserve">Energy and climate national plans </w:t>
            </w:r>
            <w:r w:rsidR="004B24F0">
              <w:t>2021-2030</w:t>
            </w:r>
          </w:p>
        </w:tc>
        <w:tc>
          <w:tcPr>
            <w:tcW w:w="1718" w:type="dxa"/>
          </w:tcPr>
          <w:p w:rsidR="008D54DE" w:rsidRDefault="001A723F" w:rsidP="00B46E04">
            <w:r>
              <w:t xml:space="preserve">Commission to  finalise </w:t>
            </w:r>
            <w:r w:rsidR="00D93967">
              <w:t xml:space="preserve">the EU Reference Scenario 2016, </w:t>
            </w:r>
            <w:r>
              <w:t>provide template for national plans</w:t>
            </w:r>
            <w:r w:rsidR="00D93967">
              <w:t xml:space="preserve"> including for variables and parameters for national integrated projections</w:t>
            </w:r>
            <w:r w:rsidR="00691D8D">
              <w:t xml:space="preserve">, start regional discussions with other MS on the preparation on regional plans </w:t>
            </w:r>
            <w:r w:rsidR="00D93967">
              <w:t xml:space="preserve"> </w:t>
            </w:r>
          </w:p>
        </w:tc>
        <w:tc>
          <w:tcPr>
            <w:tcW w:w="1417" w:type="dxa"/>
            <w:gridSpan w:val="2"/>
          </w:tcPr>
          <w:p w:rsidR="008D54DE" w:rsidRDefault="004B24F0" w:rsidP="00B46E04">
            <w:r>
              <w:t xml:space="preserve">Preparation </w:t>
            </w:r>
            <w:r w:rsidR="004431D7">
              <w:t xml:space="preserve">of </w:t>
            </w:r>
            <w:r>
              <w:t>national plans</w:t>
            </w:r>
            <w:r w:rsidR="004431D7">
              <w:t xml:space="preserve">, </w:t>
            </w:r>
            <w:r w:rsidR="00D93967">
              <w:t xml:space="preserve">develop integrated methodological tools, </w:t>
            </w:r>
            <w:r w:rsidR="004431D7">
              <w:t>present first results of their integrated projections for a reference scenario</w:t>
            </w:r>
            <w:r w:rsidR="00691D8D">
              <w:t>, start national stakeholder consultations for national plans, provide guidance for regional cooperation</w:t>
            </w:r>
          </w:p>
        </w:tc>
        <w:tc>
          <w:tcPr>
            <w:tcW w:w="1276" w:type="dxa"/>
          </w:tcPr>
          <w:p w:rsidR="008D54DE" w:rsidRDefault="006E1004" w:rsidP="00B46E04">
            <w:r>
              <w:t>Draft national plans in 2017, finalised plans in 2018</w:t>
            </w:r>
          </w:p>
        </w:tc>
        <w:tc>
          <w:tcPr>
            <w:tcW w:w="1565" w:type="dxa"/>
          </w:tcPr>
          <w:p w:rsidR="008315CE" w:rsidRPr="008315CE" w:rsidRDefault="00D93967" w:rsidP="00B46E04">
            <w:r>
              <w:t>A</w:t>
            </w:r>
            <w:r w:rsidR="008315CE" w:rsidRPr="008315CE">
              <w:t>ddress</w:t>
            </w:r>
            <w:r w:rsidR="008315CE">
              <w:t>ing</w:t>
            </w:r>
            <w:r w:rsidR="008315CE" w:rsidRPr="008315CE">
              <w:t xml:space="preserve"> the five dimensions of the </w:t>
            </w:r>
          </w:p>
          <w:p w:rsidR="008315CE" w:rsidRPr="008315CE" w:rsidRDefault="008315CE" w:rsidP="00B46E04">
            <w:r w:rsidRPr="008315CE">
              <w:t xml:space="preserve">Energy Union </w:t>
            </w:r>
          </w:p>
          <w:p w:rsidR="008315CE" w:rsidRPr="008315CE" w:rsidRDefault="008315CE" w:rsidP="00B46E04">
            <w:r w:rsidRPr="008315CE">
              <w:t>in an integrated way</w:t>
            </w:r>
            <w:r>
              <w:t>, recognising interactions for different dimensions of</w:t>
            </w:r>
            <w:r w:rsidR="00D93967">
              <w:t xml:space="preserve"> the</w:t>
            </w:r>
            <w:r>
              <w:t xml:space="preserve"> E</w:t>
            </w:r>
            <w:r w:rsidR="00802F3C">
              <w:t xml:space="preserve">nergy Union, providing long-term predictability for investment and </w:t>
            </w:r>
            <w:r w:rsidR="00D35D8A">
              <w:t xml:space="preserve">ensuring cooperation and coherence among MS approaches. </w:t>
            </w:r>
          </w:p>
          <w:p w:rsidR="008D54DE" w:rsidRDefault="008D54DE" w:rsidP="00B46E04"/>
        </w:tc>
        <w:tc>
          <w:tcPr>
            <w:tcW w:w="1412" w:type="dxa"/>
          </w:tcPr>
          <w:p w:rsidR="008D54DE" w:rsidRDefault="001055E4" w:rsidP="00875CE6">
            <w:r>
              <w:t xml:space="preserve">MS to report </w:t>
            </w:r>
            <w:r w:rsidR="00875CE6">
              <w:t xml:space="preserve">in </w:t>
            </w:r>
            <w:r>
              <w:t>primary energy savings, measures aimed at development of en</w:t>
            </w:r>
            <w:r w:rsidR="00DE408E">
              <w:t>ergy-efficiency services and DHN</w:t>
            </w:r>
            <w:r>
              <w:t xml:space="preserve">  </w:t>
            </w:r>
          </w:p>
        </w:tc>
        <w:tc>
          <w:tcPr>
            <w:tcW w:w="1148" w:type="dxa"/>
          </w:tcPr>
          <w:p w:rsidR="008D54DE" w:rsidRDefault="00B1462C" w:rsidP="00B46E04">
            <w:r>
              <w:t>Close monitoring at EU &amp; MS level</w:t>
            </w:r>
          </w:p>
        </w:tc>
      </w:tr>
      <w:tr w:rsidR="007211EC" w:rsidTr="00C83178">
        <w:tc>
          <w:tcPr>
            <w:tcW w:w="9714" w:type="dxa"/>
            <w:gridSpan w:val="8"/>
            <w:shd w:val="clear" w:color="auto" w:fill="FDE9D9" w:themeFill="accent6" w:themeFillTint="33"/>
          </w:tcPr>
          <w:p w:rsidR="007211EC" w:rsidRDefault="001873AD" w:rsidP="00B46E04">
            <w:pPr>
              <w:jc w:val="center"/>
            </w:pPr>
            <w:r>
              <w:t xml:space="preserve">Heating and Cooling </w:t>
            </w:r>
          </w:p>
        </w:tc>
      </w:tr>
      <w:tr w:rsidR="001873AD" w:rsidTr="00C83178">
        <w:tc>
          <w:tcPr>
            <w:tcW w:w="1178" w:type="dxa"/>
          </w:tcPr>
          <w:p w:rsidR="008D54DE" w:rsidRDefault="001873AD" w:rsidP="00B46E04">
            <w:r>
              <w:t xml:space="preserve">Heating and Cooling Strategy </w:t>
            </w:r>
          </w:p>
        </w:tc>
        <w:tc>
          <w:tcPr>
            <w:tcW w:w="1718" w:type="dxa"/>
          </w:tcPr>
          <w:p w:rsidR="008D54DE" w:rsidRDefault="001873AD" w:rsidP="00B46E04">
            <w:r>
              <w:t xml:space="preserve">European Commission to </w:t>
            </w:r>
            <w:r w:rsidR="00574049">
              <w:t xml:space="preserve">publish the strategy and integrate H&amp;C in evaluation, review and development of EU legislation on energy efficiency, </w:t>
            </w:r>
            <w:proofErr w:type="spellStart"/>
            <w:r w:rsidR="00574049">
              <w:t>renewables</w:t>
            </w:r>
            <w:proofErr w:type="spellEnd"/>
            <w:r w:rsidR="00574049">
              <w:t xml:space="preserve"> and building performance </w:t>
            </w:r>
          </w:p>
        </w:tc>
        <w:tc>
          <w:tcPr>
            <w:tcW w:w="1323" w:type="dxa"/>
          </w:tcPr>
          <w:p w:rsidR="008D54DE" w:rsidRDefault="00574049" w:rsidP="00B46E04">
            <w:r>
              <w:t xml:space="preserve">Expected: MS to include in their 2030 reporting and strategies actions foreseen to address barriers to energy efficiency and decarbonisation in H&amp;C and to steer investment in these </w:t>
            </w:r>
            <w:r>
              <w:lastRenderedPageBreak/>
              <w:t xml:space="preserve">areas. </w:t>
            </w:r>
          </w:p>
        </w:tc>
        <w:tc>
          <w:tcPr>
            <w:tcW w:w="1370" w:type="dxa"/>
            <w:gridSpan w:val="2"/>
          </w:tcPr>
          <w:p w:rsidR="008D54DE" w:rsidRDefault="00436314" w:rsidP="00B46E04">
            <w:r>
              <w:lastRenderedPageBreak/>
              <w:t xml:space="preserve">Strategy to be published in </w:t>
            </w:r>
            <w:r w:rsidR="00E814FA">
              <w:t>January/</w:t>
            </w:r>
            <w:r w:rsidR="00E814FA" w:rsidRPr="00436314">
              <w:rPr>
                <w:u w:val="single"/>
              </w:rPr>
              <w:t>February</w:t>
            </w:r>
            <w:r w:rsidR="00E814FA">
              <w:t xml:space="preserve"> 2016</w:t>
            </w:r>
          </w:p>
        </w:tc>
        <w:tc>
          <w:tcPr>
            <w:tcW w:w="1565" w:type="dxa"/>
          </w:tcPr>
          <w:p w:rsidR="008D54DE" w:rsidRDefault="000E5C45" w:rsidP="00B46E04">
            <w:r>
              <w:t>I</w:t>
            </w:r>
            <w:r w:rsidR="0014174C">
              <w:t xml:space="preserve">dentification of actions to be implemented in heating and cooling sectors by </w:t>
            </w:r>
            <w:r>
              <w:t xml:space="preserve">2020 to address challenges </w:t>
            </w:r>
            <w:r w:rsidR="00490E98">
              <w:t xml:space="preserve">in H&amp;C </w:t>
            </w:r>
            <w:r w:rsidR="00B20628">
              <w:t>with the aim to decarbonise</w:t>
            </w:r>
            <w:r w:rsidR="0014174C">
              <w:t xml:space="preserve"> EU economy by </w:t>
            </w:r>
            <w:r>
              <w:t>2050</w:t>
            </w:r>
            <w:r w:rsidR="0014174C">
              <w:t xml:space="preserve"> </w:t>
            </w:r>
          </w:p>
        </w:tc>
        <w:tc>
          <w:tcPr>
            <w:tcW w:w="1412" w:type="dxa"/>
          </w:tcPr>
          <w:p w:rsidR="008D54DE" w:rsidRDefault="00B36840" w:rsidP="00B46E04">
            <w:r>
              <w:t>Promotion of DHN, energy-efficiency-services, primary energy, addressing barriers such as discrimination of DHN due to the EU ETS (20 MW threshold),  rules on public pr</w:t>
            </w:r>
            <w:r w:rsidR="00465957">
              <w:t xml:space="preserve">ocurement </w:t>
            </w:r>
            <w:r w:rsidR="00465957">
              <w:lastRenderedPageBreak/>
              <w:t xml:space="preserve">, VAT, </w:t>
            </w:r>
            <w:proofErr w:type="spellStart"/>
            <w:r w:rsidR="00465957">
              <w:t>Euros</w:t>
            </w:r>
            <w:r>
              <w:t>tat</w:t>
            </w:r>
            <w:proofErr w:type="spellEnd"/>
            <w:r>
              <w:t xml:space="preserve"> rules on public debt and deficit, etc. </w:t>
            </w:r>
          </w:p>
          <w:p w:rsidR="00B36840" w:rsidRDefault="00B36840" w:rsidP="00B46E04"/>
        </w:tc>
        <w:tc>
          <w:tcPr>
            <w:tcW w:w="1148" w:type="dxa"/>
          </w:tcPr>
          <w:p w:rsidR="008D54DE" w:rsidRDefault="00465957" w:rsidP="0010335A">
            <w:r>
              <w:lastRenderedPageBreak/>
              <w:t xml:space="preserve">To be </w:t>
            </w:r>
            <w:r w:rsidR="0010335A">
              <w:t xml:space="preserve">closely </w:t>
            </w:r>
            <w:r>
              <w:t>followed</w:t>
            </w:r>
          </w:p>
        </w:tc>
      </w:tr>
      <w:tr w:rsidR="00DB03AA" w:rsidTr="00C83178">
        <w:tc>
          <w:tcPr>
            <w:tcW w:w="9714" w:type="dxa"/>
            <w:gridSpan w:val="8"/>
            <w:shd w:val="clear" w:color="auto" w:fill="FDE9D9" w:themeFill="accent6" w:themeFillTint="33"/>
          </w:tcPr>
          <w:p w:rsidR="00DB03AA" w:rsidRDefault="00DB03AA" w:rsidP="00B46E04">
            <w:pPr>
              <w:jc w:val="center"/>
            </w:pPr>
            <w:r>
              <w:lastRenderedPageBreak/>
              <w:t>Energy Efficiency</w:t>
            </w:r>
          </w:p>
        </w:tc>
      </w:tr>
      <w:tr w:rsidR="001873AD" w:rsidTr="00C83178">
        <w:tc>
          <w:tcPr>
            <w:tcW w:w="1178" w:type="dxa"/>
          </w:tcPr>
          <w:p w:rsidR="008D54DE" w:rsidRDefault="00190BEC" w:rsidP="00B46E04">
            <w:r>
              <w:t xml:space="preserve">EPBD </w:t>
            </w:r>
          </w:p>
        </w:tc>
        <w:tc>
          <w:tcPr>
            <w:tcW w:w="1718" w:type="dxa"/>
          </w:tcPr>
          <w:p w:rsidR="008D54DE" w:rsidRDefault="00DA1A22" w:rsidP="00B46E04">
            <w:r>
              <w:t>Public consultation closed on 31/10/201</w:t>
            </w:r>
            <w:r w:rsidR="006103A8">
              <w:t>5</w:t>
            </w:r>
          </w:p>
        </w:tc>
        <w:tc>
          <w:tcPr>
            <w:tcW w:w="1417" w:type="dxa"/>
            <w:gridSpan w:val="2"/>
          </w:tcPr>
          <w:p w:rsidR="008D54DE" w:rsidRDefault="008D54DE" w:rsidP="00B46E04"/>
        </w:tc>
        <w:tc>
          <w:tcPr>
            <w:tcW w:w="1276" w:type="dxa"/>
          </w:tcPr>
          <w:p w:rsidR="008D54DE" w:rsidRDefault="00660040" w:rsidP="00660040">
            <w:r>
              <w:t xml:space="preserve">By end </w:t>
            </w:r>
            <w:r w:rsidR="00DA1A22">
              <w:t xml:space="preserve">2016: </w:t>
            </w:r>
            <w:r w:rsidR="00A76C0B">
              <w:t xml:space="preserve">review by </w:t>
            </w:r>
            <w:r w:rsidR="000E5815">
              <w:t xml:space="preserve">the </w:t>
            </w:r>
            <w:r w:rsidR="00A76C0B">
              <w:t>European C</w:t>
            </w:r>
            <w:r w:rsidR="00DA1A22">
              <w:t xml:space="preserve">ommission </w:t>
            </w:r>
          </w:p>
        </w:tc>
        <w:tc>
          <w:tcPr>
            <w:tcW w:w="1565" w:type="dxa"/>
          </w:tcPr>
          <w:p w:rsidR="008D54DE" w:rsidRDefault="00481699" w:rsidP="00B46E04">
            <w:r>
              <w:t>Review of existing EPBD</w:t>
            </w:r>
            <w:r w:rsidR="00660040">
              <w:t xml:space="preserve">, exploring links of the EPBD with other energy legislation (EED, RES). </w:t>
            </w:r>
          </w:p>
        </w:tc>
        <w:tc>
          <w:tcPr>
            <w:tcW w:w="1412" w:type="dxa"/>
          </w:tcPr>
          <w:p w:rsidR="00F23715" w:rsidRPr="00F23715" w:rsidRDefault="00F23715" w:rsidP="00B46E0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To keep </w:t>
            </w:r>
            <w:r w:rsidR="00752273" w:rsidRPr="00F237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primary energy,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measuring actual energy consumption of a building, </w:t>
            </w:r>
            <w:r w:rsidR="00752273" w:rsidRPr="00F237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enable a vision at district level, promotion of energy-efficiency services and DHN</w:t>
            </w:r>
            <w:r w:rsidRPr="00F237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</w:t>
            </w:r>
          </w:p>
          <w:p w:rsidR="00F23715" w:rsidRPr="00F23715" w:rsidRDefault="00F23715" w:rsidP="00B46E0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"o</w:t>
            </w:r>
            <w:r w:rsidRPr="00F237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 site" energy production from renewable energy sources cannot replace or compensate for low ene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rgy efficiency of a building.</w:t>
            </w:r>
            <w:r w:rsidRPr="00F2371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8D54DE" w:rsidRDefault="008D54DE" w:rsidP="00B46E04"/>
        </w:tc>
        <w:tc>
          <w:tcPr>
            <w:tcW w:w="1148" w:type="dxa"/>
          </w:tcPr>
          <w:p w:rsidR="008D54DE" w:rsidRDefault="00465957" w:rsidP="0010335A">
            <w:r>
              <w:t xml:space="preserve">To be </w:t>
            </w:r>
            <w:r w:rsidR="0010335A">
              <w:t xml:space="preserve">closely </w:t>
            </w:r>
            <w:r>
              <w:t>followed</w:t>
            </w:r>
          </w:p>
        </w:tc>
      </w:tr>
      <w:tr w:rsidR="001873AD" w:rsidTr="00C83178">
        <w:tc>
          <w:tcPr>
            <w:tcW w:w="1178" w:type="dxa"/>
          </w:tcPr>
          <w:p w:rsidR="008D54DE" w:rsidRDefault="00A76C0B" w:rsidP="00B46E04">
            <w:r>
              <w:t xml:space="preserve">EED </w:t>
            </w:r>
          </w:p>
        </w:tc>
        <w:tc>
          <w:tcPr>
            <w:tcW w:w="1718" w:type="dxa"/>
          </w:tcPr>
          <w:p w:rsidR="008D54DE" w:rsidRDefault="006103A8" w:rsidP="00B46E04">
            <w:r>
              <w:t>Public consultation open until 29/01/2016</w:t>
            </w:r>
          </w:p>
        </w:tc>
        <w:tc>
          <w:tcPr>
            <w:tcW w:w="1417" w:type="dxa"/>
            <w:gridSpan w:val="2"/>
          </w:tcPr>
          <w:p w:rsidR="008D54DE" w:rsidRDefault="00194D1C" w:rsidP="00B46E04">
            <w:r>
              <w:t xml:space="preserve">By the end 2015 MS to undertake comprehensive assessments of their potential of HE CHP and </w:t>
            </w:r>
            <w:r>
              <w:lastRenderedPageBreak/>
              <w:t xml:space="preserve">EE DHC (Art. 14, EED) </w:t>
            </w:r>
          </w:p>
        </w:tc>
        <w:tc>
          <w:tcPr>
            <w:tcW w:w="1276" w:type="dxa"/>
          </w:tcPr>
          <w:p w:rsidR="008D54DE" w:rsidRDefault="00A51A30" w:rsidP="00B46E04">
            <w:r>
              <w:lastRenderedPageBreak/>
              <w:t>Autumn 2016: European Commission to propose a revision of EED</w:t>
            </w:r>
          </w:p>
        </w:tc>
        <w:tc>
          <w:tcPr>
            <w:tcW w:w="1565" w:type="dxa"/>
          </w:tcPr>
          <w:p w:rsidR="008D54DE" w:rsidRDefault="00A51A30" w:rsidP="00B46E04">
            <w:r>
              <w:t>Revision of Articles</w:t>
            </w:r>
            <w:r w:rsidR="008C166E">
              <w:t xml:space="preserve"> in EED</w:t>
            </w:r>
            <w:r w:rsidR="00012788">
              <w:t xml:space="preserve">: </w:t>
            </w:r>
            <w:r w:rsidR="00012788" w:rsidRPr="00012788">
              <w:t>1,3,6,7,9-11,20,24</w:t>
            </w:r>
            <w:r w:rsidR="00334C7D">
              <w:t xml:space="preserve"> </w:t>
            </w:r>
          </w:p>
        </w:tc>
        <w:tc>
          <w:tcPr>
            <w:tcW w:w="1412" w:type="dxa"/>
          </w:tcPr>
          <w:p w:rsidR="008D54DE" w:rsidRDefault="00066725" w:rsidP="00B46E04">
            <w:r>
              <w:t>Binding en</w:t>
            </w:r>
            <w:r w:rsidR="00F07D2A">
              <w:t>ergy efficiency target, Art.</w:t>
            </w:r>
            <w:r>
              <w:t xml:space="preserve"> 6 (public procurement)and </w:t>
            </w:r>
            <w:r w:rsidR="00F07D2A">
              <w:t>Art.</w:t>
            </w:r>
            <w:r>
              <w:t>7 (EEOS)</w:t>
            </w:r>
          </w:p>
        </w:tc>
        <w:tc>
          <w:tcPr>
            <w:tcW w:w="1148" w:type="dxa"/>
          </w:tcPr>
          <w:p w:rsidR="008D54DE" w:rsidRDefault="0010335A" w:rsidP="0010335A">
            <w:r>
              <w:t xml:space="preserve">To be closely </w:t>
            </w:r>
            <w:r w:rsidR="00465957">
              <w:t>followed</w:t>
            </w:r>
          </w:p>
        </w:tc>
      </w:tr>
      <w:tr w:rsidR="009464A1" w:rsidTr="00C83178">
        <w:tc>
          <w:tcPr>
            <w:tcW w:w="9714" w:type="dxa"/>
            <w:gridSpan w:val="8"/>
            <w:shd w:val="clear" w:color="auto" w:fill="FDE9D9" w:themeFill="accent6" w:themeFillTint="33"/>
          </w:tcPr>
          <w:p w:rsidR="009464A1" w:rsidRDefault="009464A1" w:rsidP="00B46E04">
            <w:pPr>
              <w:jc w:val="center"/>
            </w:pPr>
            <w:r>
              <w:lastRenderedPageBreak/>
              <w:t>GHG emissions reduction</w:t>
            </w:r>
          </w:p>
        </w:tc>
      </w:tr>
      <w:tr w:rsidR="001873AD" w:rsidTr="00C83178">
        <w:tc>
          <w:tcPr>
            <w:tcW w:w="1178" w:type="dxa"/>
          </w:tcPr>
          <w:p w:rsidR="008D54DE" w:rsidRDefault="008933F8" w:rsidP="00B46E04">
            <w:r>
              <w:t xml:space="preserve">EU ETS </w:t>
            </w:r>
          </w:p>
        </w:tc>
        <w:tc>
          <w:tcPr>
            <w:tcW w:w="1718" w:type="dxa"/>
          </w:tcPr>
          <w:p w:rsidR="008D54DE" w:rsidRDefault="008933F8" w:rsidP="00B46E04">
            <w:r>
              <w:t xml:space="preserve">Proposal of the EU ETS reform </w:t>
            </w:r>
            <w:r w:rsidR="00C53AE5">
              <w:t xml:space="preserve">for after 2020 </w:t>
            </w:r>
            <w:r>
              <w:t>published on 15/07/2015</w:t>
            </w:r>
          </w:p>
        </w:tc>
        <w:tc>
          <w:tcPr>
            <w:tcW w:w="1417" w:type="dxa"/>
            <w:gridSpan w:val="2"/>
          </w:tcPr>
          <w:p w:rsidR="008D54DE" w:rsidRDefault="00765842" w:rsidP="00B46E04">
            <w:r>
              <w:t xml:space="preserve">Discussions with MS and European Parliament will take 2 years </w:t>
            </w:r>
          </w:p>
        </w:tc>
        <w:tc>
          <w:tcPr>
            <w:tcW w:w="1276" w:type="dxa"/>
          </w:tcPr>
          <w:p w:rsidR="008D54DE" w:rsidRDefault="000F0172" w:rsidP="00B46E04">
            <w:r>
              <w:t xml:space="preserve">Draft report by </w:t>
            </w:r>
            <w:r w:rsidR="00F23715">
              <w:t>Ian Duncan (</w:t>
            </w:r>
            <w:proofErr w:type="spellStart"/>
            <w:r w:rsidR="00F23715">
              <w:t>Conservatists</w:t>
            </w:r>
            <w:proofErr w:type="spellEnd"/>
            <w:r w:rsidR="00F23715">
              <w:t>/UK) in April 2016</w:t>
            </w:r>
          </w:p>
        </w:tc>
        <w:tc>
          <w:tcPr>
            <w:tcW w:w="1565" w:type="dxa"/>
          </w:tcPr>
          <w:p w:rsidR="008D54DE" w:rsidRDefault="00C53AE5" w:rsidP="00B46E04">
            <w:r>
              <w:t xml:space="preserve">To address unallocated allowances </w:t>
            </w:r>
            <w:r w:rsidR="007A2884">
              <w:t xml:space="preserve">for </w:t>
            </w:r>
            <w:r w:rsidR="00C63CBC">
              <w:t xml:space="preserve">after 2020 </w:t>
            </w:r>
            <w:r w:rsidR="00041E9E">
              <w:t>(MSR)</w:t>
            </w:r>
            <w:r>
              <w:t xml:space="preserve"> </w:t>
            </w:r>
          </w:p>
        </w:tc>
        <w:tc>
          <w:tcPr>
            <w:tcW w:w="1412" w:type="dxa"/>
          </w:tcPr>
          <w:p w:rsidR="008D54DE" w:rsidRDefault="007A2884" w:rsidP="00B46E04">
            <w:r>
              <w:t>Provisions for DHN</w:t>
            </w:r>
          </w:p>
        </w:tc>
        <w:tc>
          <w:tcPr>
            <w:tcW w:w="1148" w:type="dxa"/>
          </w:tcPr>
          <w:p w:rsidR="008D54DE" w:rsidRDefault="00465957" w:rsidP="00B46E04">
            <w:r>
              <w:t>To be followed</w:t>
            </w:r>
          </w:p>
        </w:tc>
      </w:tr>
      <w:tr w:rsidR="001873AD" w:rsidTr="00C83178">
        <w:tc>
          <w:tcPr>
            <w:tcW w:w="1178" w:type="dxa"/>
          </w:tcPr>
          <w:p w:rsidR="008D54DE" w:rsidRDefault="00C53AE5" w:rsidP="00B46E04">
            <w:r>
              <w:t xml:space="preserve">Effort Sharing Decision </w:t>
            </w:r>
          </w:p>
        </w:tc>
        <w:tc>
          <w:tcPr>
            <w:tcW w:w="1718" w:type="dxa"/>
          </w:tcPr>
          <w:p w:rsidR="008D54DE" w:rsidRDefault="009942C9" w:rsidP="00846B87">
            <w:r>
              <w:t xml:space="preserve">Public consultation </w:t>
            </w:r>
            <w:r w:rsidR="00846B87">
              <w:t xml:space="preserve">closed in June </w:t>
            </w:r>
            <w:r>
              <w:t>2015</w:t>
            </w:r>
          </w:p>
        </w:tc>
        <w:tc>
          <w:tcPr>
            <w:tcW w:w="1417" w:type="dxa"/>
            <w:gridSpan w:val="2"/>
          </w:tcPr>
          <w:p w:rsidR="00920331" w:rsidRPr="00920331" w:rsidRDefault="00920331" w:rsidP="00920331">
            <w:r w:rsidRPr="00920331">
              <w:t xml:space="preserve">The ESD targets for the 2021-2030 period are to be distributed using a similar methodology as for the current ESD, e.g. based </w:t>
            </w:r>
          </w:p>
          <w:p w:rsidR="008D54DE" w:rsidRDefault="00920331" w:rsidP="00920331">
            <w:r w:rsidRPr="00920331">
              <w:t>on each country’s wealth as measures by its GDP per capita</w:t>
            </w:r>
            <w:r>
              <w:t xml:space="preserve">. </w:t>
            </w:r>
          </w:p>
        </w:tc>
        <w:tc>
          <w:tcPr>
            <w:tcW w:w="1276" w:type="dxa"/>
          </w:tcPr>
          <w:p w:rsidR="008D54DE" w:rsidRDefault="009942C9" w:rsidP="00B46E04">
            <w:r>
              <w:t>Legislative proposal to be presented in 2016</w:t>
            </w:r>
            <w:r w:rsidR="00894B51">
              <w:t>.</w:t>
            </w:r>
          </w:p>
        </w:tc>
        <w:tc>
          <w:tcPr>
            <w:tcW w:w="1565" w:type="dxa"/>
          </w:tcPr>
          <w:p w:rsidR="008D54DE" w:rsidRDefault="006B6FDA" w:rsidP="006B6FDA">
            <w:r>
              <w:t>To align effort of Member States to reduce their GHG emissions in a 2030 perspective</w:t>
            </w:r>
            <w:r w:rsidR="009B7398">
              <w:t xml:space="preserve"> -  </w:t>
            </w:r>
            <w:r w:rsidR="00C32070">
              <w:t xml:space="preserve">between 2021- 2030 </w:t>
            </w:r>
            <w:r w:rsidR="009B7398">
              <w:t xml:space="preserve">non-ETS sectors would need to cut emissions by </w:t>
            </w:r>
            <w:r w:rsidR="009B7398" w:rsidRPr="009B7398">
              <w:rPr>
                <w:bCs/>
              </w:rPr>
              <w:t>30%</w:t>
            </w:r>
            <w:r w:rsidR="009B7398">
              <w:rPr>
                <w:b/>
                <w:bCs/>
              </w:rPr>
              <w:t xml:space="preserve"> </w:t>
            </w:r>
            <w:r w:rsidR="009B7398">
              <w:t xml:space="preserve">(compared to 2005). </w:t>
            </w:r>
          </w:p>
        </w:tc>
        <w:tc>
          <w:tcPr>
            <w:tcW w:w="1412" w:type="dxa"/>
          </w:tcPr>
          <w:p w:rsidR="008D54DE" w:rsidRDefault="009B7398" w:rsidP="00B46E04">
            <w:r>
              <w:t xml:space="preserve">Installations with capacity below 20 MW are not covered by the EU ETS. </w:t>
            </w:r>
          </w:p>
        </w:tc>
        <w:tc>
          <w:tcPr>
            <w:tcW w:w="1148" w:type="dxa"/>
          </w:tcPr>
          <w:p w:rsidR="008D54DE" w:rsidRDefault="006A1EBC" w:rsidP="00B46E04">
            <w:r>
              <w:t xml:space="preserve">To be followed. </w:t>
            </w:r>
          </w:p>
        </w:tc>
      </w:tr>
      <w:tr w:rsidR="00033275" w:rsidTr="00C83178">
        <w:tc>
          <w:tcPr>
            <w:tcW w:w="9714" w:type="dxa"/>
            <w:gridSpan w:val="8"/>
            <w:shd w:val="clear" w:color="auto" w:fill="FDE9D9" w:themeFill="accent6" w:themeFillTint="33"/>
          </w:tcPr>
          <w:p w:rsidR="00033275" w:rsidRDefault="00033275" w:rsidP="00B46E04">
            <w:pPr>
              <w:jc w:val="center"/>
            </w:pPr>
            <w:r>
              <w:t>Renewable Energy Sources</w:t>
            </w:r>
          </w:p>
        </w:tc>
      </w:tr>
      <w:tr w:rsidR="00033275" w:rsidTr="00C83178">
        <w:tc>
          <w:tcPr>
            <w:tcW w:w="1178" w:type="dxa"/>
          </w:tcPr>
          <w:p w:rsidR="00033275" w:rsidRDefault="00B46E04" w:rsidP="00B46E04">
            <w:r>
              <w:t xml:space="preserve">RES Directive </w:t>
            </w:r>
          </w:p>
        </w:tc>
        <w:tc>
          <w:tcPr>
            <w:tcW w:w="1718" w:type="dxa"/>
          </w:tcPr>
          <w:p w:rsidR="00033275" w:rsidRDefault="00147986" w:rsidP="00B46E04">
            <w:r>
              <w:t>Public consultation 18/11/2015 - 10/02/2016</w:t>
            </w:r>
          </w:p>
        </w:tc>
        <w:tc>
          <w:tcPr>
            <w:tcW w:w="1417" w:type="dxa"/>
            <w:gridSpan w:val="2"/>
          </w:tcPr>
          <w:p w:rsidR="00033275" w:rsidRDefault="00033275" w:rsidP="00B46E04"/>
        </w:tc>
        <w:tc>
          <w:tcPr>
            <w:tcW w:w="1276" w:type="dxa"/>
          </w:tcPr>
          <w:p w:rsidR="00033275" w:rsidRDefault="00986076" w:rsidP="00B46E04">
            <w:r>
              <w:t xml:space="preserve">Proposal </w:t>
            </w:r>
            <w:r w:rsidR="00E92F65">
              <w:t xml:space="preserve">for a new RES Directive </w:t>
            </w:r>
            <w:r>
              <w:t>expected in autumn 2016</w:t>
            </w:r>
            <w:r w:rsidR="004009C0">
              <w:t>.</w:t>
            </w:r>
          </w:p>
        </w:tc>
        <w:tc>
          <w:tcPr>
            <w:tcW w:w="1565" w:type="dxa"/>
          </w:tcPr>
          <w:p w:rsidR="00033275" w:rsidRDefault="00E92F65" w:rsidP="00B46E04">
            <w:r>
              <w:t>To provide the right framework to achieve the binding EU-level target of at least 27% RES by 2030</w:t>
            </w:r>
            <w:r w:rsidR="004009C0">
              <w:t>.</w:t>
            </w:r>
          </w:p>
        </w:tc>
        <w:tc>
          <w:tcPr>
            <w:tcW w:w="1412" w:type="dxa"/>
          </w:tcPr>
          <w:p w:rsidR="00033275" w:rsidRDefault="009D1AD3" w:rsidP="00643623">
            <w:r>
              <w:t>Deployment of RES in DHN</w:t>
            </w:r>
            <w:r w:rsidR="00A55162">
              <w:t xml:space="preserve">, </w:t>
            </w:r>
            <w:r w:rsidR="00643623">
              <w:t xml:space="preserve">possible </w:t>
            </w:r>
            <w:r w:rsidR="00B22670">
              <w:t>RES H&amp;C obligation</w:t>
            </w:r>
            <w:r w:rsidR="00643623">
              <w:t xml:space="preserve"> for NZEB</w:t>
            </w:r>
            <w:r w:rsidR="00B22670">
              <w:t xml:space="preserve">, </w:t>
            </w:r>
            <w:r w:rsidR="00A55162">
              <w:t xml:space="preserve">measures supporting heat planning and mapping, criteria and benchmarks for promoting DHN taking into consideration the local </w:t>
            </w:r>
            <w:r w:rsidR="00A55162">
              <w:lastRenderedPageBreak/>
              <w:t>and regional condition</w:t>
            </w:r>
            <w:r w:rsidR="00AA3C47">
              <w:t>s</w:t>
            </w:r>
            <w:r w:rsidR="00075D03">
              <w:t>, etc.</w:t>
            </w:r>
          </w:p>
        </w:tc>
        <w:tc>
          <w:tcPr>
            <w:tcW w:w="1148" w:type="dxa"/>
          </w:tcPr>
          <w:p w:rsidR="00033275" w:rsidRDefault="006D306C" w:rsidP="006D306C">
            <w:r>
              <w:lastRenderedPageBreak/>
              <w:t xml:space="preserve">To be closely followed </w:t>
            </w:r>
          </w:p>
        </w:tc>
      </w:tr>
      <w:tr w:rsidR="00033275" w:rsidTr="00C83178">
        <w:tc>
          <w:tcPr>
            <w:tcW w:w="1178" w:type="dxa"/>
          </w:tcPr>
          <w:p w:rsidR="00033275" w:rsidRDefault="00ED1A6E" w:rsidP="00B46E04">
            <w:r>
              <w:lastRenderedPageBreak/>
              <w:t xml:space="preserve">Biomass </w:t>
            </w:r>
            <w:r w:rsidR="00C31859">
              <w:t xml:space="preserve">Sustainability Criteria </w:t>
            </w:r>
          </w:p>
        </w:tc>
        <w:tc>
          <w:tcPr>
            <w:tcW w:w="1718" w:type="dxa"/>
          </w:tcPr>
          <w:p w:rsidR="00033275" w:rsidRDefault="00626E11" w:rsidP="00B46E04">
            <w:r>
              <w:t xml:space="preserve">Public consultation on </w:t>
            </w:r>
            <w:proofErr w:type="spellStart"/>
            <w:r>
              <w:t>bioenergy</w:t>
            </w:r>
            <w:proofErr w:type="spellEnd"/>
            <w:r>
              <w:t xml:space="preserve"> </w:t>
            </w:r>
            <w:r w:rsidR="009D195D">
              <w:t xml:space="preserve">sustainability </w:t>
            </w:r>
            <w:r>
              <w:t>including  Biomass Sustainability Criteria to be published in 1 Q 2016</w:t>
            </w:r>
          </w:p>
        </w:tc>
        <w:tc>
          <w:tcPr>
            <w:tcW w:w="1417" w:type="dxa"/>
            <w:gridSpan w:val="2"/>
          </w:tcPr>
          <w:p w:rsidR="00033275" w:rsidRDefault="00033275" w:rsidP="00B46E04"/>
        </w:tc>
        <w:tc>
          <w:tcPr>
            <w:tcW w:w="1276" w:type="dxa"/>
          </w:tcPr>
          <w:p w:rsidR="00033275" w:rsidRDefault="00B57C82" w:rsidP="007A1779">
            <w:proofErr w:type="spellStart"/>
            <w:r>
              <w:t>Bioenergy</w:t>
            </w:r>
            <w:proofErr w:type="spellEnd"/>
            <w:r>
              <w:t xml:space="preserve"> sustainability policy for 2030 to be published </w:t>
            </w:r>
            <w:r w:rsidR="007A1779">
              <w:t xml:space="preserve">by end </w:t>
            </w:r>
            <w:r>
              <w:t>2016</w:t>
            </w:r>
            <w:r w:rsidR="004009C0">
              <w:t xml:space="preserve">. </w:t>
            </w:r>
          </w:p>
        </w:tc>
        <w:tc>
          <w:tcPr>
            <w:tcW w:w="1565" w:type="dxa"/>
          </w:tcPr>
          <w:p w:rsidR="00033275" w:rsidRDefault="00033275" w:rsidP="00B46E04"/>
        </w:tc>
        <w:tc>
          <w:tcPr>
            <w:tcW w:w="1412" w:type="dxa"/>
          </w:tcPr>
          <w:p w:rsidR="006B5E7E" w:rsidRPr="006B5E7E" w:rsidRDefault="006B5E7E" w:rsidP="006B5E7E">
            <w:r w:rsidRPr="006B5E7E">
              <w:t xml:space="preserve">Sustainability criteria for biomass as a condition for </w:t>
            </w:r>
          </w:p>
          <w:p w:rsidR="006B5E7E" w:rsidRPr="006B5E7E" w:rsidRDefault="006B5E7E" w:rsidP="006B5E7E">
            <w:r w:rsidRPr="006B5E7E">
              <w:t xml:space="preserve">their inclusion in national targets and for eligibility to financial </w:t>
            </w:r>
          </w:p>
          <w:p w:rsidR="006B5E7E" w:rsidRPr="006B5E7E" w:rsidRDefault="006B5E7E" w:rsidP="006B5E7E">
            <w:r w:rsidRPr="006B5E7E">
              <w:t>support</w:t>
            </w:r>
          </w:p>
          <w:p w:rsidR="006B5E7E" w:rsidRDefault="006B5E7E" w:rsidP="00B46E04"/>
        </w:tc>
        <w:tc>
          <w:tcPr>
            <w:tcW w:w="1148" w:type="dxa"/>
          </w:tcPr>
          <w:p w:rsidR="00033275" w:rsidRDefault="006D306C" w:rsidP="00B46E04">
            <w:r>
              <w:t xml:space="preserve">To be closely followed </w:t>
            </w:r>
          </w:p>
        </w:tc>
      </w:tr>
    </w:tbl>
    <w:p w:rsidR="00CB06A0" w:rsidRPr="006F2F7E" w:rsidRDefault="00CB06A0" w:rsidP="00587253">
      <w:pPr>
        <w:rPr>
          <w:b/>
          <w:sz w:val="24"/>
          <w:szCs w:val="24"/>
        </w:rPr>
      </w:pPr>
    </w:p>
    <w:sectPr w:rsidR="00CB06A0" w:rsidRPr="006F2F7E" w:rsidSect="00CB06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3C" w:rsidRDefault="00CF433C" w:rsidP="008D54DE">
      <w:pPr>
        <w:spacing w:after="0" w:line="240" w:lineRule="auto"/>
      </w:pPr>
      <w:r>
        <w:separator/>
      </w:r>
    </w:p>
  </w:endnote>
  <w:endnote w:type="continuationSeparator" w:id="0">
    <w:p w:rsidR="00CF433C" w:rsidRDefault="00CF433C" w:rsidP="008D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077219"/>
      <w:docPartObj>
        <w:docPartGallery w:val="Page Numbers (Bottom of Page)"/>
        <w:docPartUnique/>
      </w:docPartObj>
    </w:sdtPr>
    <w:sdtContent>
      <w:p w:rsidR="00897A78" w:rsidRDefault="00603EEE">
        <w:pPr>
          <w:pStyle w:val="Pieddepage"/>
          <w:jc w:val="right"/>
        </w:pPr>
        <w:fldSimple w:instr=" PAGE   \* MERGEFORMAT ">
          <w:r w:rsidR="00887DE0">
            <w:rPr>
              <w:noProof/>
            </w:rPr>
            <w:t>1</w:t>
          </w:r>
        </w:fldSimple>
      </w:p>
    </w:sdtContent>
  </w:sdt>
  <w:p w:rsidR="00897A78" w:rsidRDefault="00897A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3C" w:rsidRDefault="00CF433C" w:rsidP="008D54DE">
      <w:pPr>
        <w:spacing w:after="0" w:line="240" w:lineRule="auto"/>
      </w:pPr>
      <w:r>
        <w:separator/>
      </w:r>
    </w:p>
  </w:footnote>
  <w:footnote w:type="continuationSeparator" w:id="0">
    <w:p w:rsidR="00CF433C" w:rsidRDefault="00CF433C" w:rsidP="008D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04" w:rsidRDefault="00B46E04" w:rsidP="00B46E04">
    <w:pPr>
      <w:jc w:val="right"/>
      <w:rPr>
        <w:sz w:val="20"/>
        <w:szCs w:val="20"/>
      </w:rPr>
    </w:pPr>
    <w:r w:rsidRPr="00B46E04">
      <w:rPr>
        <w:sz w:val="20"/>
        <w:szCs w:val="20"/>
      </w:rPr>
      <w:t xml:space="preserve"> </w:t>
    </w:r>
  </w:p>
  <w:p w:rsidR="00B46E04" w:rsidRPr="00B46E04" w:rsidRDefault="00B46E04" w:rsidP="00887DE0">
    <w:pPr>
      <w:ind w:right="-613"/>
      <w:jc w:val="right"/>
      <w:rPr>
        <w:sz w:val="20"/>
        <w:szCs w:val="20"/>
      </w:rPr>
    </w:pPr>
    <w:r w:rsidRPr="00B46E04">
      <w:rPr>
        <w:sz w:val="20"/>
        <w:szCs w:val="20"/>
      </w:rPr>
      <w:t xml:space="preserve"> Brussels, 20 November 2015</w:t>
    </w:r>
  </w:p>
  <w:p w:rsidR="00587253" w:rsidRPr="00196D06" w:rsidRDefault="00587253" w:rsidP="00887DE0">
    <w:pPr>
      <w:ind w:right="-613"/>
      <w:rPr>
        <w:b/>
        <w:sz w:val="24"/>
        <w:szCs w:val="24"/>
      </w:rPr>
    </w:pPr>
    <w:r w:rsidRPr="006F2F7E">
      <w:rPr>
        <w:b/>
        <w:sz w:val="24"/>
        <w:szCs w:val="24"/>
      </w:rPr>
      <w:t>EFIEES</w:t>
    </w:r>
    <w:r w:rsidR="00DC598F">
      <w:rPr>
        <w:b/>
        <w:sz w:val="24"/>
        <w:szCs w:val="24"/>
      </w:rPr>
      <w:t>' topics</w:t>
    </w:r>
    <w:r w:rsidRPr="006F2F7E">
      <w:rPr>
        <w:b/>
        <w:sz w:val="24"/>
        <w:szCs w:val="24"/>
      </w:rPr>
      <w:t xml:space="preserve"> </w:t>
    </w:r>
    <w:r w:rsidR="00DC598F">
      <w:rPr>
        <w:b/>
        <w:sz w:val="24"/>
        <w:szCs w:val="24"/>
      </w:rPr>
      <w:t xml:space="preserve">for </w:t>
    </w:r>
    <w:r w:rsidRPr="00DC598F">
      <w:rPr>
        <w:b/>
        <w:sz w:val="24"/>
        <w:szCs w:val="24"/>
        <w:u w:val="single"/>
      </w:rPr>
      <w:t>end 2015 - 2016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731CC"/>
    <w:rsid w:val="00012788"/>
    <w:rsid w:val="00033275"/>
    <w:rsid w:val="00041E9E"/>
    <w:rsid w:val="00066725"/>
    <w:rsid w:val="00075D03"/>
    <w:rsid w:val="000B5EA4"/>
    <w:rsid w:val="000E5815"/>
    <w:rsid w:val="000E5C45"/>
    <w:rsid w:val="000F0172"/>
    <w:rsid w:val="000F243A"/>
    <w:rsid w:val="0010335A"/>
    <w:rsid w:val="001039D5"/>
    <w:rsid w:val="001055E4"/>
    <w:rsid w:val="0014174C"/>
    <w:rsid w:val="00147986"/>
    <w:rsid w:val="001731CC"/>
    <w:rsid w:val="001873AD"/>
    <w:rsid w:val="00190BEC"/>
    <w:rsid w:val="00194D1C"/>
    <w:rsid w:val="00196D06"/>
    <w:rsid w:val="001A723F"/>
    <w:rsid w:val="001B0A91"/>
    <w:rsid w:val="002408D4"/>
    <w:rsid w:val="00327461"/>
    <w:rsid w:val="00334C7D"/>
    <w:rsid w:val="003C5E46"/>
    <w:rsid w:val="003E4A08"/>
    <w:rsid w:val="004009C0"/>
    <w:rsid w:val="00433371"/>
    <w:rsid w:val="00436314"/>
    <w:rsid w:val="004431D7"/>
    <w:rsid w:val="00452FD7"/>
    <w:rsid w:val="00465957"/>
    <w:rsid w:val="004671FC"/>
    <w:rsid w:val="004725AF"/>
    <w:rsid w:val="00481699"/>
    <w:rsid w:val="00490E98"/>
    <w:rsid w:val="00495238"/>
    <w:rsid w:val="004B24F0"/>
    <w:rsid w:val="00547920"/>
    <w:rsid w:val="00574049"/>
    <w:rsid w:val="00587253"/>
    <w:rsid w:val="00603EEE"/>
    <w:rsid w:val="006103A8"/>
    <w:rsid w:val="00611DF3"/>
    <w:rsid w:val="00612F4E"/>
    <w:rsid w:val="00626E11"/>
    <w:rsid w:val="006331C3"/>
    <w:rsid w:val="00643623"/>
    <w:rsid w:val="00660040"/>
    <w:rsid w:val="00691D8D"/>
    <w:rsid w:val="006A1EBC"/>
    <w:rsid w:val="006B5E7E"/>
    <w:rsid w:val="006B6FDA"/>
    <w:rsid w:val="006C504D"/>
    <w:rsid w:val="006D306C"/>
    <w:rsid w:val="006E1004"/>
    <w:rsid w:val="006E50CC"/>
    <w:rsid w:val="006F2F7E"/>
    <w:rsid w:val="0071761F"/>
    <w:rsid w:val="007211EC"/>
    <w:rsid w:val="00752273"/>
    <w:rsid w:val="00765842"/>
    <w:rsid w:val="007A1779"/>
    <w:rsid w:val="007A2884"/>
    <w:rsid w:val="007C33B0"/>
    <w:rsid w:val="00802F3C"/>
    <w:rsid w:val="00812E90"/>
    <w:rsid w:val="008315CE"/>
    <w:rsid w:val="00846B87"/>
    <w:rsid w:val="00875CE6"/>
    <w:rsid w:val="00887DE0"/>
    <w:rsid w:val="008933F8"/>
    <w:rsid w:val="00894B51"/>
    <w:rsid w:val="00897A78"/>
    <w:rsid w:val="008C166E"/>
    <w:rsid w:val="008D54DE"/>
    <w:rsid w:val="00920331"/>
    <w:rsid w:val="00932992"/>
    <w:rsid w:val="00943008"/>
    <w:rsid w:val="009464A1"/>
    <w:rsid w:val="00986076"/>
    <w:rsid w:val="009942C9"/>
    <w:rsid w:val="009B7398"/>
    <w:rsid w:val="009D195D"/>
    <w:rsid w:val="009D1AD3"/>
    <w:rsid w:val="00A26F6D"/>
    <w:rsid w:val="00A51A30"/>
    <w:rsid w:val="00A548B1"/>
    <w:rsid w:val="00A55162"/>
    <w:rsid w:val="00A7680A"/>
    <w:rsid w:val="00A76C0B"/>
    <w:rsid w:val="00AA3C47"/>
    <w:rsid w:val="00AD32E1"/>
    <w:rsid w:val="00AD7B06"/>
    <w:rsid w:val="00B0792E"/>
    <w:rsid w:val="00B1462C"/>
    <w:rsid w:val="00B20628"/>
    <w:rsid w:val="00B22670"/>
    <w:rsid w:val="00B2479E"/>
    <w:rsid w:val="00B36840"/>
    <w:rsid w:val="00B46E04"/>
    <w:rsid w:val="00B57C82"/>
    <w:rsid w:val="00C31859"/>
    <w:rsid w:val="00C32070"/>
    <w:rsid w:val="00C3282E"/>
    <w:rsid w:val="00C53AE5"/>
    <w:rsid w:val="00C63CBC"/>
    <w:rsid w:val="00C83178"/>
    <w:rsid w:val="00CB06A0"/>
    <w:rsid w:val="00CF433C"/>
    <w:rsid w:val="00D35D8A"/>
    <w:rsid w:val="00D93967"/>
    <w:rsid w:val="00DA1A22"/>
    <w:rsid w:val="00DB03AA"/>
    <w:rsid w:val="00DC598F"/>
    <w:rsid w:val="00DE408E"/>
    <w:rsid w:val="00E814FA"/>
    <w:rsid w:val="00E87F27"/>
    <w:rsid w:val="00E92F65"/>
    <w:rsid w:val="00EB47C9"/>
    <w:rsid w:val="00ED1A6E"/>
    <w:rsid w:val="00F01712"/>
    <w:rsid w:val="00F07D2A"/>
    <w:rsid w:val="00F23715"/>
    <w:rsid w:val="00F409AB"/>
    <w:rsid w:val="00F549EC"/>
    <w:rsid w:val="00FA6D23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D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54DE"/>
  </w:style>
  <w:style w:type="paragraph" w:styleId="Pieddepage">
    <w:name w:val="footer"/>
    <w:basedOn w:val="Normal"/>
    <w:link w:val="PieddepageCar"/>
    <w:uiPriority w:val="99"/>
    <w:unhideWhenUsed/>
    <w:rsid w:val="008D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4DE"/>
  </w:style>
  <w:style w:type="character" w:customStyle="1" w:styleId="highlight">
    <w:name w:val="highlight"/>
    <w:basedOn w:val="Policepardfaut"/>
    <w:rsid w:val="008315CE"/>
  </w:style>
  <w:style w:type="paragraph" w:customStyle="1" w:styleId="Default">
    <w:name w:val="Default"/>
    <w:rsid w:val="00F23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24B09-2515-4797-A566-8AC52896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 Officer</dc:creator>
  <cp:lastModifiedBy>Policy Officer</cp:lastModifiedBy>
  <cp:revision>136</cp:revision>
  <dcterms:created xsi:type="dcterms:W3CDTF">2015-11-19T15:49:00Z</dcterms:created>
  <dcterms:modified xsi:type="dcterms:W3CDTF">2015-11-20T10:00:00Z</dcterms:modified>
</cp:coreProperties>
</file>